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1109" w14:textId="08270950" w:rsidR="009F5525" w:rsidRDefault="009F5525" w:rsidP="009F5525">
      <w:pPr>
        <w:shd w:val="clear" w:color="auto" w:fill="FFFFFF"/>
        <w:tabs>
          <w:tab w:val="num" w:pos="720"/>
        </w:tabs>
        <w:spacing w:after="0" w:line="240" w:lineRule="auto"/>
        <w:ind w:left="720" w:hanging="360"/>
      </w:pPr>
      <w:r>
        <w:t>Arabic 3705</w:t>
      </w:r>
    </w:p>
    <w:p w14:paraId="5C9CFE9A" w14:textId="77777777" w:rsidR="009F5525" w:rsidRDefault="009F5525" w:rsidP="009F5525">
      <w:pPr>
        <w:shd w:val="clear" w:color="auto" w:fill="FFFFFF"/>
        <w:tabs>
          <w:tab w:val="num" w:pos="720"/>
        </w:tabs>
        <w:spacing w:after="0" w:line="240" w:lineRule="auto"/>
        <w:ind w:left="720" w:hanging="360"/>
      </w:pPr>
    </w:p>
    <w:p w14:paraId="357132F8" w14:textId="5CDE2097"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bookmarkStart w:id="0" w:name="_Hlk136434585"/>
      <w:r w:rsidRPr="009F5525">
        <w:rPr>
          <w:rFonts w:ascii="Calibri" w:eastAsia="Times New Roman" w:hAnsi="Calibri" w:cs="Calibri"/>
          <w:b/>
          <w:bCs/>
          <w:color w:val="242424"/>
        </w:rPr>
        <w:t>Contingency:</w:t>
      </w:r>
      <w:r>
        <w:rPr>
          <w:rFonts w:ascii="Calibri" w:eastAsia="Times New Roman" w:hAnsi="Calibri" w:cs="Calibri"/>
          <w:color w:val="242424"/>
        </w:rPr>
        <w:t xml:space="preserve"> T</w:t>
      </w:r>
      <w:r w:rsidRPr="009F5525">
        <w:rPr>
          <w:rFonts w:ascii="Calibri" w:eastAsia="Times New Roman" w:hAnsi="Calibri" w:cs="Calibri"/>
          <w:color w:val="242424"/>
        </w:rPr>
        <w:t>he Panel asks that the department modify the course descriptions (both in curriculum.osu.edu and on the syllabus, pg. 1) to include information about how the course will integrate the intersectional study of race, ethnicity, and gender into the study of the </w:t>
      </w:r>
      <w:r w:rsidRPr="009F5525">
        <w:rPr>
          <w:rFonts w:ascii="Calibri" w:eastAsia="Times New Roman" w:hAnsi="Calibri" w:cs="Calibri"/>
          <w:i/>
          <w:iCs/>
          <w:color w:val="242424"/>
        </w:rPr>
        <w:t>1001 Nights</w:t>
      </w:r>
      <w:r w:rsidRPr="009F5525">
        <w:rPr>
          <w:rFonts w:ascii="Calibri" w:eastAsia="Times New Roman" w:hAnsi="Calibri" w:cs="Calibri"/>
          <w:color w:val="242424"/>
        </w:rPr>
        <w:t>.</w:t>
      </w:r>
    </w:p>
    <w:p w14:paraId="52BD2AEF" w14:textId="5B59DED0"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b/>
          <w:bCs/>
          <w:color w:val="242424"/>
        </w:rPr>
        <w:t xml:space="preserve">Contingency: </w:t>
      </w:r>
      <w:r w:rsidRPr="009F5525">
        <w:rPr>
          <w:rFonts w:ascii="Calibri" w:eastAsia="Times New Roman" w:hAnsi="Calibri" w:cs="Calibri"/>
          <w:color w:val="242424"/>
        </w:rPr>
        <w:t xml:space="preserve">The Panel requests that the department modify the course goals (syllabus pg. 1-2) to include more explicit reference to the study of race, </w:t>
      </w:r>
      <w:proofErr w:type="gramStart"/>
      <w:r w:rsidRPr="009F5525">
        <w:rPr>
          <w:rFonts w:ascii="Calibri" w:eastAsia="Times New Roman" w:hAnsi="Calibri" w:cs="Calibri"/>
          <w:color w:val="242424"/>
        </w:rPr>
        <w:t>ethnicity</w:t>
      </w:r>
      <w:proofErr w:type="gramEnd"/>
      <w:r w:rsidRPr="009F5525">
        <w:rPr>
          <w:rFonts w:ascii="Calibri" w:eastAsia="Times New Roman" w:hAnsi="Calibri" w:cs="Calibri"/>
          <w:color w:val="242424"/>
        </w:rPr>
        <w:t xml:space="preserve"> and gender diversity.  They note that the GEN submission form contains some excellent material in the first 3 responses that may be helpful in amending the syllabus.</w:t>
      </w:r>
    </w:p>
    <w:p w14:paraId="3E2500AB" w14:textId="1FD63E64"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b/>
          <w:bCs/>
          <w:color w:val="242424"/>
        </w:rPr>
        <w:t xml:space="preserve">Contingency: </w:t>
      </w:r>
      <w:r w:rsidRPr="009F5525">
        <w:rPr>
          <w:rFonts w:ascii="Calibri" w:eastAsia="Times New Roman" w:hAnsi="Calibri" w:cs="Calibri"/>
          <w:color w:val="242424"/>
        </w:rPr>
        <w:t>The Panel asks that the department modify and/or add to their explanation of how the course will meet ELO 1.3 (GEN submission form, pg. 2).  While they appreciate the study of orientalism and its impacts, they would like to know more about how the course addresses the intersection of race, gender, and ethnicity and how the course will engage with the effects this has on current and/or past lived experiences.</w:t>
      </w:r>
    </w:p>
    <w:p w14:paraId="2C9784E7" w14:textId="79244F20"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b/>
          <w:bCs/>
          <w:color w:val="242424"/>
        </w:rPr>
        <w:t xml:space="preserve">Contingency: </w:t>
      </w:r>
      <w:r w:rsidRPr="009F5525">
        <w:rPr>
          <w:rFonts w:ascii="Calibri" w:eastAsia="Times New Roman" w:hAnsi="Calibri" w:cs="Calibri"/>
          <w:color w:val="242424"/>
        </w:rPr>
        <w:t>The Panel requests that the department include in the course a greater emphasis on ethnicity.</w:t>
      </w:r>
    </w:p>
    <w:p w14:paraId="4BD25128" w14:textId="00FC85CD"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b/>
          <w:bCs/>
          <w:color w:val="242424"/>
        </w:rPr>
        <w:t xml:space="preserve">Contingency: </w:t>
      </w:r>
      <w:r w:rsidRPr="009F5525">
        <w:rPr>
          <w:rFonts w:ascii="Calibri" w:eastAsia="Times New Roman" w:hAnsi="Calibri" w:cs="Calibri"/>
          <w:color w:val="242424"/>
        </w:rPr>
        <w:t>The Panel asks that the department provide more information on pg. 4 of the syllabus about how REGD topics will be integrated in the assignments.  They acknowledge and appreciate the sample essay questions that are provided but are unsure if essays and seminars will always be integrated with or focus on REGD topics.</w:t>
      </w:r>
    </w:p>
    <w:p w14:paraId="5E80510F" w14:textId="1D7819A0" w:rsidR="009F5525" w:rsidRPr="00E46BEC" w:rsidRDefault="009F5525" w:rsidP="00E46BEC">
      <w:pPr>
        <w:pStyle w:val="ListParagraph"/>
        <w:numPr>
          <w:ilvl w:val="0"/>
          <w:numId w:val="2"/>
        </w:numPr>
        <w:rPr>
          <w:rFonts w:ascii="Calibri" w:eastAsia="Times New Roman" w:hAnsi="Calibri" w:cs="Calibri"/>
          <w:color w:val="242424"/>
        </w:rPr>
      </w:pPr>
      <w:r w:rsidRPr="00E46BEC">
        <w:rPr>
          <w:rFonts w:ascii="Calibri" w:eastAsia="Times New Roman" w:hAnsi="Calibri" w:cs="Calibri"/>
          <w:b/>
          <w:bCs/>
          <w:color w:val="242424"/>
        </w:rPr>
        <w:t xml:space="preserve">Contingency: </w:t>
      </w:r>
      <w:r w:rsidR="00E46BEC" w:rsidRPr="00E46BEC">
        <w:rPr>
          <w:rFonts w:ascii="Calibri" w:eastAsia="Times New Roman" w:hAnsi="Calibri" w:cs="Calibri"/>
          <w:color w:val="242424"/>
        </w:rPr>
        <w:t>The Panel requests that the department include in the course schedule (syllabus pg. 8-14) more “signposting” for students regarding how and when various REGD topics will be addressed.  The Panel notes that this could be accomplished via the inclusion of weekly topics, a weekly focus question, unit headings, or by other means.  In particular, the Panel would like to see a description of how REGD concepts will be addressed in each module, as currently, REGD content seems highly concentrated in Module 3.</w:t>
      </w:r>
    </w:p>
    <w:p w14:paraId="7BB28B01" w14:textId="59771D29"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r>
        <w:rPr>
          <w:rFonts w:ascii="Calibri" w:eastAsia="Times New Roman" w:hAnsi="Calibri" w:cs="Calibri"/>
          <w:b/>
          <w:bCs/>
          <w:color w:val="242424"/>
        </w:rPr>
        <w:t xml:space="preserve">Contingency: </w:t>
      </w:r>
      <w:r w:rsidRPr="009F5525">
        <w:rPr>
          <w:rFonts w:ascii="Calibri" w:eastAsia="Times New Roman" w:hAnsi="Calibri" w:cs="Calibri"/>
          <w:color w:val="242424"/>
        </w:rPr>
        <w:t xml:space="preserve">The Panel asks that the department include in the syllabus the General Education Goals and ELOs (as well as a paragraph explaining how those goals and ELOs are met in this </w:t>
      </w:r>
      <w:proofErr w:type="gramStart"/>
      <w:r w:rsidRPr="009F5525">
        <w:rPr>
          <w:rFonts w:ascii="Calibri" w:eastAsia="Times New Roman" w:hAnsi="Calibri" w:cs="Calibri"/>
          <w:color w:val="242424"/>
        </w:rPr>
        <w:t>particular course</w:t>
      </w:r>
      <w:proofErr w:type="gramEnd"/>
      <w:r w:rsidRPr="009F5525">
        <w:rPr>
          <w:rFonts w:ascii="Calibri" w:eastAsia="Times New Roman" w:hAnsi="Calibri" w:cs="Calibri"/>
          <w:color w:val="242424"/>
        </w:rPr>
        <w:t>) for all Legacy General Education (GEL) and New General Education (GEN) categories that are fulfilled via this course. Currently, the course is missing the information for the GEN Literary, Visual and Performing Arts category and the GEL Literature category.  Goals and ELOs are available in an easy-to-copy/paste format on the ASC Curriculum and Assessment Services website here: </w:t>
      </w:r>
      <w:hyperlink r:id="rId8" w:tgtFrame="_blank" w:history="1">
        <w:r w:rsidRPr="009F5525">
          <w:rPr>
            <w:rFonts w:ascii="Calibri" w:eastAsia="Times New Roman" w:hAnsi="Calibri" w:cs="Calibri"/>
            <w:color w:val="0000FF"/>
            <w:u w:val="single"/>
            <w:bdr w:val="none" w:sz="0" w:space="0" w:color="auto" w:frame="1"/>
          </w:rPr>
          <w:t>https://asccas.osu.edu/new-general-education-gen-goals-and-elos</w:t>
        </w:r>
      </w:hyperlink>
      <w:r w:rsidRPr="009F5525">
        <w:rPr>
          <w:rFonts w:ascii="Calibri" w:eastAsia="Times New Roman" w:hAnsi="Calibri" w:cs="Calibri"/>
          <w:color w:val="242424"/>
        </w:rPr>
        <w:t> (for the GEN) and here: </w:t>
      </w:r>
      <w:hyperlink r:id="rId9" w:tgtFrame="_blank" w:history="1">
        <w:r w:rsidRPr="009F5525">
          <w:rPr>
            <w:rFonts w:ascii="Calibri" w:eastAsia="Times New Roman" w:hAnsi="Calibri" w:cs="Calibri"/>
            <w:color w:val="0000FF"/>
            <w:u w:val="single"/>
            <w:bdr w:val="none" w:sz="0" w:space="0" w:color="auto" w:frame="1"/>
          </w:rPr>
          <w:t>https://asccas.osu.edu/legacy-general-education-gel-goals-and-elos</w:t>
        </w:r>
      </w:hyperlink>
      <w:r w:rsidRPr="009F5525">
        <w:rPr>
          <w:rFonts w:ascii="Calibri" w:eastAsia="Times New Roman" w:hAnsi="Calibri" w:cs="Calibri"/>
          <w:color w:val="242424"/>
        </w:rPr>
        <w:t> (for the GEL).</w:t>
      </w:r>
    </w:p>
    <w:p w14:paraId="0B8BAE69" w14:textId="51197703"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r w:rsidRPr="008450C0">
        <w:rPr>
          <w:rFonts w:ascii="Calibri" w:eastAsia="Times New Roman" w:hAnsi="Calibri" w:cs="Calibri"/>
          <w:i/>
          <w:iCs/>
          <w:color w:val="242424"/>
        </w:rPr>
        <w:t>Recommendation:</w:t>
      </w:r>
      <w:r>
        <w:rPr>
          <w:rFonts w:ascii="Calibri" w:eastAsia="Times New Roman" w:hAnsi="Calibri" w:cs="Calibri"/>
          <w:b/>
          <w:bCs/>
          <w:color w:val="242424"/>
        </w:rPr>
        <w:t xml:space="preserve"> </w:t>
      </w:r>
      <w:r w:rsidRPr="009F5525">
        <w:rPr>
          <w:rFonts w:ascii="Calibri" w:eastAsia="Times New Roman" w:hAnsi="Calibri" w:cs="Calibri"/>
          <w:color w:val="242424"/>
        </w:rPr>
        <w:t>The Panel recommends that the department amend the attendance policy (syllabus, pg. 5) as this policy specifically addresses the profession of Social Work and courses in the College of Social Work.</w:t>
      </w:r>
    </w:p>
    <w:p w14:paraId="08AEAE2A" w14:textId="697D63BF"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r w:rsidRPr="008450C0">
        <w:rPr>
          <w:rFonts w:ascii="Calibri" w:eastAsia="Times New Roman" w:hAnsi="Calibri" w:cs="Calibri"/>
          <w:i/>
          <w:iCs/>
          <w:color w:val="242424"/>
        </w:rPr>
        <w:t>Recommendation:</w:t>
      </w:r>
      <w:r>
        <w:rPr>
          <w:rFonts w:ascii="Calibri" w:eastAsia="Times New Roman" w:hAnsi="Calibri" w:cs="Calibri"/>
          <w:b/>
          <w:bCs/>
          <w:color w:val="242424"/>
        </w:rPr>
        <w:t xml:space="preserve"> </w:t>
      </w:r>
      <w:r w:rsidRPr="009F5525">
        <w:rPr>
          <w:rFonts w:ascii="Calibri" w:eastAsia="Times New Roman" w:hAnsi="Calibri" w:cs="Calibri"/>
          <w:color w:val="242424"/>
        </w:rPr>
        <w:t>The Panel recommends that the department update the Mental Health Statement (syllabus pg. 6-7 under “Your Mental Health”), as there is a new phone number for the National Crisis/Suicide Hotline.  The most up-to-date statement can be found here: </w:t>
      </w:r>
      <w:hyperlink r:id="rId10" w:tgtFrame="_blank" w:history="1">
        <w:r w:rsidRPr="009F5525">
          <w:rPr>
            <w:rFonts w:ascii="Calibri" w:eastAsia="Times New Roman" w:hAnsi="Calibri" w:cs="Calibri"/>
            <w:color w:val="0000FF"/>
            <w:u w:val="single"/>
            <w:bdr w:val="none" w:sz="0" w:space="0" w:color="auto" w:frame="1"/>
          </w:rPr>
          <w:t>https://asccas.osu.edu/curriculum/syllabus-elements</w:t>
        </w:r>
      </w:hyperlink>
      <w:r w:rsidRPr="009F5525">
        <w:rPr>
          <w:rFonts w:ascii="Calibri" w:eastAsia="Times New Roman" w:hAnsi="Calibri" w:cs="Calibri"/>
          <w:color w:val="242424"/>
        </w:rPr>
        <w:t>.</w:t>
      </w:r>
    </w:p>
    <w:p w14:paraId="305C47B1" w14:textId="30529C6D" w:rsidR="009F5525" w:rsidRPr="009F5525" w:rsidRDefault="009F5525" w:rsidP="009F5525">
      <w:pPr>
        <w:numPr>
          <w:ilvl w:val="0"/>
          <w:numId w:val="2"/>
        </w:numPr>
        <w:shd w:val="clear" w:color="auto" w:fill="FFFFFF"/>
        <w:spacing w:after="0" w:line="240" w:lineRule="auto"/>
        <w:rPr>
          <w:rFonts w:ascii="Calibri" w:eastAsia="Times New Roman" w:hAnsi="Calibri" w:cs="Calibri"/>
          <w:color w:val="242424"/>
        </w:rPr>
      </w:pPr>
      <w:r w:rsidRPr="008450C0">
        <w:rPr>
          <w:rFonts w:ascii="Calibri" w:eastAsia="Times New Roman" w:hAnsi="Calibri" w:cs="Calibri"/>
          <w:i/>
          <w:iCs/>
          <w:color w:val="242424"/>
        </w:rPr>
        <w:t>Recommendation</w:t>
      </w:r>
      <w:r w:rsidRPr="008450C0">
        <w:rPr>
          <w:rFonts w:ascii="Calibri" w:eastAsia="Times New Roman" w:hAnsi="Calibri" w:cs="Calibri"/>
          <w:color w:val="242424"/>
        </w:rPr>
        <w:t>:</w:t>
      </w:r>
      <w:r>
        <w:rPr>
          <w:rFonts w:ascii="Calibri" w:eastAsia="Times New Roman" w:hAnsi="Calibri" w:cs="Calibri"/>
          <w:b/>
          <w:bCs/>
          <w:color w:val="242424"/>
        </w:rPr>
        <w:t xml:space="preserve"> </w:t>
      </w:r>
      <w:r w:rsidRPr="009F5525">
        <w:rPr>
          <w:rFonts w:ascii="Calibri" w:eastAsia="Times New Roman" w:hAnsi="Calibri" w:cs="Calibri"/>
          <w:color w:val="242424"/>
        </w:rPr>
        <w:t xml:space="preserve">The Panel recommends that the department use the most up-to-date version of the Student Life Disabilities Services statement (syllabus pg. 7 under “Accommodations for Students </w:t>
      </w:r>
      <w:proofErr w:type="gramStart"/>
      <w:r w:rsidRPr="009F5525">
        <w:rPr>
          <w:rFonts w:ascii="Calibri" w:eastAsia="Times New Roman" w:hAnsi="Calibri" w:cs="Calibri"/>
          <w:color w:val="242424"/>
        </w:rPr>
        <w:t>With</w:t>
      </w:r>
      <w:proofErr w:type="gramEnd"/>
      <w:r w:rsidRPr="009F5525">
        <w:rPr>
          <w:rFonts w:ascii="Calibri" w:eastAsia="Times New Roman" w:hAnsi="Calibri" w:cs="Calibri"/>
          <w:color w:val="242424"/>
        </w:rPr>
        <w:t xml:space="preserve"> Disabilities”).  An up-to-date statement can be found here: </w:t>
      </w:r>
      <w:hyperlink r:id="rId11" w:tgtFrame="_blank" w:history="1">
        <w:r w:rsidRPr="009F5525">
          <w:rPr>
            <w:rFonts w:ascii="Calibri" w:eastAsia="Times New Roman" w:hAnsi="Calibri" w:cs="Calibri"/>
            <w:color w:val="0000FF"/>
            <w:u w:val="single"/>
            <w:bdr w:val="none" w:sz="0" w:space="0" w:color="auto" w:frame="1"/>
          </w:rPr>
          <w:t>https://asccas.osu.edu/curriculum/syllabus-elements</w:t>
        </w:r>
      </w:hyperlink>
      <w:r w:rsidRPr="009F5525">
        <w:rPr>
          <w:rFonts w:ascii="Calibri" w:eastAsia="Times New Roman" w:hAnsi="Calibri" w:cs="Calibri"/>
          <w:color w:val="242424"/>
        </w:rPr>
        <w:t>.</w:t>
      </w:r>
    </w:p>
    <w:bookmarkEnd w:id="0"/>
    <w:p w14:paraId="2444EA35" w14:textId="1B234054" w:rsidR="009F5525" w:rsidRDefault="009F5525" w:rsidP="009F5525">
      <w:pPr>
        <w:pStyle w:val="xmsonormal"/>
        <w:shd w:val="clear" w:color="auto" w:fill="FFFFFF"/>
        <w:spacing w:before="0" w:beforeAutospacing="0" w:after="0" w:afterAutospacing="0"/>
        <w:rPr>
          <w:rFonts w:ascii="Calibri" w:hAnsi="Calibri" w:cs="Calibri"/>
          <w:color w:val="212121"/>
          <w:sz w:val="22"/>
          <w:szCs w:val="22"/>
          <w:bdr w:val="none" w:sz="0" w:space="0" w:color="auto" w:frame="1"/>
        </w:rPr>
      </w:pPr>
    </w:p>
    <w:p w14:paraId="326797B4" w14:textId="4B33AF47" w:rsidR="009F5525" w:rsidRDefault="009F5525" w:rsidP="009F5525">
      <w:pPr>
        <w:pStyle w:val="xmsonormal"/>
        <w:shd w:val="clear" w:color="auto" w:fill="FFFFFF"/>
        <w:spacing w:before="0" w:beforeAutospacing="0" w:after="0" w:afterAutospacing="0"/>
        <w:rPr>
          <w:rFonts w:ascii="Calibri" w:hAnsi="Calibri" w:cs="Calibri"/>
          <w:color w:val="212121"/>
          <w:sz w:val="22"/>
          <w:szCs w:val="22"/>
          <w:bdr w:val="none" w:sz="0" w:space="0" w:color="auto" w:frame="1"/>
        </w:rPr>
      </w:pPr>
    </w:p>
    <w:p w14:paraId="18D81D4C" w14:textId="35E8B2AB" w:rsidR="009F5525" w:rsidRDefault="009F5525" w:rsidP="009F5525">
      <w:pPr>
        <w:pStyle w:val="xmsonormal"/>
        <w:shd w:val="clear" w:color="auto" w:fill="FFFFFF"/>
        <w:spacing w:before="0" w:beforeAutospacing="0" w:after="0" w:afterAutospacing="0"/>
        <w:rPr>
          <w:rFonts w:ascii="Calibri" w:hAnsi="Calibri" w:cs="Calibri"/>
          <w:color w:val="212121"/>
          <w:sz w:val="22"/>
          <w:szCs w:val="22"/>
          <w:bdr w:val="none" w:sz="0" w:space="0" w:color="auto" w:frame="1"/>
        </w:rPr>
      </w:pPr>
    </w:p>
    <w:p w14:paraId="3B1B1D98" w14:textId="7AA60476" w:rsidR="009F5525" w:rsidRDefault="009F5525" w:rsidP="009F5525">
      <w:pPr>
        <w:pStyle w:val="xmsonormal"/>
        <w:shd w:val="clear" w:color="auto" w:fill="FFFFFF"/>
        <w:spacing w:before="0" w:beforeAutospacing="0" w:after="0" w:afterAutospacing="0"/>
        <w:rPr>
          <w:rFonts w:ascii="Calibri" w:hAnsi="Calibri" w:cs="Calibri"/>
          <w:color w:val="212121"/>
          <w:sz w:val="22"/>
          <w:szCs w:val="22"/>
          <w:bdr w:val="none" w:sz="0" w:space="0" w:color="auto" w:frame="1"/>
        </w:rPr>
      </w:pPr>
      <w:r>
        <w:rPr>
          <w:rFonts w:ascii="Calibri" w:hAnsi="Calibri" w:cs="Calibri"/>
          <w:color w:val="212121"/>
          <w:sz w:val="22"/>
          <w:szCs w:val="22"/>
          <w:bdr w:val="none" w:sz="0" w:space="0" w:color="auto" w:frame="1"/>
        </w:rPr>
        <w:t>Comp Studies 2</w:t>
      </w:r>
      <w:r w:rsidR="00731231">
        <w:rPr>
          <w:rFonts w:ascii="Calibri" w:hAnsi="Calibri" w:cs="Calibri"/>
          <w:color w:val="212121"/>
          <w:sz w:val="22"/>
          <w:szCs w:val="22"/>
          <w:bdr w:val="none" w:sz="0" w:space="0" w:color="auto" w:frame="1"/>
        </w:rPr>
        <w:t>101</w:t>
      </w:r>
    </w:p>
    <w:p w14:paraId="7598A62D" w14:textId="77777777" w:rsidR="009F5525" w:rsidRDefault="009F5525" w:rsidP="009F5525">
      <w:pPr>
        <w:pStyle w:val="xmsonormal"/>
        <w:shd w:val="clear" w:color="auto" w:fill="FFFFFF"/>
        <w:spacing w:before="0" w:beforeAutospacing="0" w:after="0" w:afterAutospacing="0"/>
        <w:rPr>
          <w:rFonts w:ascii="Calibri" w:hAnsi="Calibri" w:cs="Calibri"/>
          <w:color w:val="212121"/>
          <w:sz w:val="22"/>
          <w:szCs w:val="22"/>
          <w:bdr w:val="none" w:sz="0" w:space="0" w:color="auto" w:frame="1"/>
        </w:rPr>
      </w:pPr>
    </w:p>
    <w:p w14:paraId="4040CD9A" w14:textId="77777777" w:rsidR="009F5525" w:rsidRDefault="009F5525" w:rsidP="009F5525">
      <w:pPr>
        <w:pStyle w:val="xmsonormal"/>
        <w:shd w:val="clear" w:color="auto" w:fill="FFFFFF"/>
        <w:spacing w:before="0" w:beforeAutospacing="0" w:after="0" w:afterAutospacing="0"/>
        <w:rPr>
          <w:rFonts w:ascii="Calibri" w:hAnsi="Calibri" w:cs="Calibri"/>
          <w:color w:val="212121"/>
          <w:sz w:val="22"/>
          <w:szCs w:val="22"/>
          <w:bdr w:val="none" w:sz="0" w:space="0" w:color="auto" w:frame="1"/>
        </w:rPr>
      </w:pPr>
    </w:p>
    <w:p w14:paraId="1E516FA1" w14:textId="00023951" w:rsidR="009F5525" w:rsidRPr="00E46BEC" w:rsidRDefault="009F5525" w:rsidP="00E46BEC">
      <w:pPr>
        <w:pStyle w:val="ListParagraph"/>
        <w:numPr>
          <w:ilvl w:val="1"/>
          <w:numId w:val="1"/>
        </w:numPr>
        <w:rPr>
          <w:rFonts w:ascii="Calibri" w:eastAsia="Times New Roman" w:hAnsi="Calibri" w:cs="Calibri"/>
          <w:color w:val="242424"/>
        </w:rPr>
      </w:pPr>
      <w:bookmarkStart w:id="1" w:name="_Hlk136434957"/>
      <w:r w:rsidRPr="00E46BEC">
        <w:rPr>
          <w:rFonts w:ascii="Calibri" w:hAnsi="Calibri" w:cs="Calibri"/>
          <w:b/>
          <w:bCs/>
          <w:color w:val="242424"/>
        </w:rPr>
        <w:t xml:space="preserve">Contingency: </w:t>
      </w:r>
      <w:r w:rsidR="00E46BEC" w:rsidRPr="00E46BEC">
        <w:rPr>
          <w:rFonts w:ascii="Calibri" w:eastAsia="Times New Roman" w:hAnsi="Calibri" w:cs="Calibri"/>
          <w:color w:val="242424"/>
        </w:rPr>
        <w:t>The Panel asks that the Course Description (found under “General Information” in curriculum.osu.edu) and Course Goals or Learning Objectives/Outcomes and Content Topic List (both found under “Course Details” in curriculum.osu.edu), as well as the Course Description on the syllabus (pg. 2), be modified to foreground the intersectional study of race, gender, and ethnicity, so that it is clear to registering students and other stakeholders that all iterations of the course will include focused study of all of these topics.</w:t>
      </w:r>
    </w:p>
    <w:p w14:paraId="35342850" w14:textId="1E7B1073" w:rsidR="009F5525" w:rsidRDefault="009F5525" w:rsidP="009F5525">
      <w:pPr>
        <w:pStyle w:val="xmsonormal"/>
        <w:numPr>
          <w:ilvl w:val="1"/>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rPr>
        <w:t xml:space="preserve">Contingency: </w:t>
      </w:r>
      <w:r>
        <w:rPr>
          <w:rFonts w:ascii="Calibri" w:hAnsi="Calibri" w:cs="Calibri"/>
          <w:color w:val="242424"/>
          <w:sz w:val="22"/>
          <w:szCs w:val="22"/>
        </w:rPr>
        <w:t xml:space="preserve">The Panel observes that the material covered in the first 8 weeks of the course does not include much attention to the intersectional study of race, </w:t>
      </w:r>
      <w:proofErr w:type="gramStart"/>
      <w:r>
        <w:rPr>
          <w:rFonts w:ascii="Calibri" w:hAnsi="Calibri" w:cs="Calibri"/>
          <w:color w:val="242424"/>
          <w:sz w:val="22"/>
          <w:szCs w:val="22"/>
        </w:rPr>
        <w:t>ethnicity</w:t>
      </w:r>
      <w:proofErr w:type="gramEnd"/>
      <w:r>
        <w:rPr>
          <w:rFonts w:ascii="Calibri" w:hAnsi="Calibri" w:cs="Calibri"/>
          <w:color w:val="242424"/>
          <w:sz w:val="22"/>
          <w:szCs w:val="22"/>
        </w:rPr>
        <w:t xml:space="preserve"> and gender. They ask that the department address this by including some foundational exploration of REGD principles in the first few weeks of the course and amending the course schedule to include attention to REGD issues and topics throughout the course. </w:t>
      </w:r>
    </w:p>
    <w:p w14:paraId="2CFB6113" w14:textId="7232CC23" w:rsidR="009F5525" w:rsidRDefault="009F5525" w:rsidP="009F5525">
      <w:pPr>
        <w:pStyle w:val="xmsonormal"/>
        <w:numPr>
          <w:ilvl w:val="1"/>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rPr>
        <w:t xml:space="preserve">Contingency: </w:t>
      </w:r>
      <w:r>
        <w:rPr>
          <w:rFonts w:ascii="Calibri" w:hAnsi="Calibri" w:cs="Calibri"/>
          <w:color w:val="242424"/>
          <w:sz w:val="22"/>
          <w:szCs w:val="22"/>
        </w:rPr>
        <w:t>The Panel requests that the unit expand their description of how the course meets the goals and ELOs of the REGD category (syllabus pg. 4-5 under “Meeting GE Learning Outcomes”), with attention to specific examples of activities, topics, and/or assignments that engage with the ELOs.</w:t>
      </w:r>
    </w:p>
    <w:p w14:paraId="42C7F1D7" w14:textId="21CE5C0B" w:rsidR="009F5525" w:rsidRDefault="009F5525" w:rsidP="009F5525">
      <w:pPr>
        <w:pStyle w:val="xmsonormal"/>
        <w:numPr>
          <w:ilvl w:val="1"/>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rPr>
        <w:t xml:space="preserve">Contingency: </w:t>
      </w:r>
      <w:r>
        <w:rPr>
          <w:rFonts w:ascii="Calibri" w:hAnsi="Calibri" w:cs="Calibri"/>
          <w:color w:val="242424"/>
          <w:sz w:val="22"/>
          <w:szCs w:val="22"/>
        </w:rPr>
        <w:t>The Panel asks that the unit expand and/or more explicitly “signpost” the discussion of ethnicity in the course.  While the Panel does not require that engagement with topics of race, gender and ethnicity be strictly “equal” (i.e., 1/3, 1/3, and 1/3), it is required that all three areas be substantively and explicitly addressed in all REGD courses.</w:t>
      </w:r>
    </w:p>
    <w:p w14:paraId="0B959A14" w14:textId="04ADD942" w:rsidR="009F5525" w:rsidRDefault="009F5525" w:rsidP="009F5525">
      <w:pPr>
        <w:pStyle w:val="xmsonormal"/>
        <w:numPr>
          <w:ilvl w:val="1"/>
          <w:numId w:val="1"/>
        </w:numPr>
        <w:shd w:val="clear" w:color="auto" w:fill="FFFFFF"/>
        <w:spacing w:before="0" w:beforeAutospacing="0" w:after="0" w:afterAutospacing="0"/>
        <w:rPr>
          <w:rFonts w:ascii="Calibri" w:hAnsi="Calibri" w:cs="Calibri"/>
          <w:color w:val="242424"/>
          <w:sz w:val="22"/>
          <w:szCs w:val="22"/>
        </w:rPr>
      </w:pPr>
      <w:r>
        <w:rPr>
          <w:rFonts w:ascii="Calibri" w:hAnsi="Calibri" w:cs="Calibri"/>
          <w:b/>
          <w:bCs/>
          <w:color w:val="242424"/>
        </w:rPr>
        <w:t xml:space="preserve">Contingency: </w:t>
      </w:r>
      <w:r>
        <w:rPr>
          <w:rFonts w:ascii="Calibri" w:hAnsi="Calibri" w:cs="Calibri"/>
          <w:color w:val="242424"/>
          <w:sz w:val="22"/>
          <w:szCs w:val="22"/>
        </w:rPr>
        <w:t>The Panel requests that the unit more explicitly address REGD topics in the descriptions of the course assignments (syllabus pg. 6-7 under “Overview of Major Course Assignments”).  They note that there is some excellent information in the GE form that could be brought into the syllabus to lay out for students more clearly how REGD issues will be emphasized in the course’s assignments.</w:t>
      </w:r>
    </w:p>
    <w:p w14:paraId="0544A3FF" w14:textId="727B3B2D" w:rsidR="009F5525" w:rsidRDefault="009F5525" w:rsidP="009F5525">
      <w:pPr>
        <w:pStyle w:val="xmsonormal"/>
        <w:numPr>
          <w:ilvl w:val="1"/>
          <w:numId w:val="1"/>
        </w:numPr>
        <w:shd w:val="clear" w:color="auto" w:fill="FFFFFF"/>
        <w:spacing w:before="0" w:beforeAutospacing="0" w:after="0" w:afterAutospacing="0"/>
        <w:rPr>
          <w:rFonts w:ascii="Calibri" w:hAnsi="Calibri" w:cs="Calibri"/>
          <w:color w:val="242424"/>
          <w:sz w:val="22"/>
          <w:szCs w:val="22"/>
        </w:rPr>
      </w:pPr>
      <w:r w:rsidRPr="008450C0">
        <w:rPr>
          <w:rFonts w:ascii="Calibri" w:hAnsi="Calibri" w:cs="Calibri"/>
          <w:i/>
          <w:iCs/>
          <w:color w:val="242424"/>
          <w:sz w:val="22"/>
          <w:szCs w:val="22"/>
        </w:rPr>
        <w:t>Recommendation:</w:t>
      </w:r>
      <w:r>
        <w:rPr>
          <w:rFonts w:ascii="Calibri" w:hAnsi="Calibri" w:cs="Calibri"/>
          <w:b/>
          <w:bCs/>
          <w:color w:val="242424"/>
          <w:sz w:val="22"/>
          <w:szCs w:val="22"/>
        </w:rPr>
        <w:t xml:space="preserve"> </w:t>
      </w:r>
      <w:r>
        <w:rPr>
          <w:rFonts w:ascii="Calibri" w:hAnsi="Calibri" w:cs="Calibri"/>
          <w:color w:val="242424"/>
          <w:sz w:val="22"/>
          <w:szCs w:val="22"/>
        </w:rPr>
        <w:t xml:space="preserve">The Panel suggests that the unit remove the term “synchronous” from the description of the mode of instruction on pg. 1 of the syllabus, as this term is generally reserved for descriptions of online courses and may confuse students when used </w:t>
      </w:r>
      <w:proofErr w:type="gramStart"/>
      <w:r>
        <w:rPr>
          <w:rFonts w:ascii="Calibri" w:hAnsi="Calibri" w:cs="Calibri"/>
          <w:color w:val="242424"/>
          <w:sz w:val="22"/>
          <w:szCs w:val="22"/>
        </w:rPr>
        <w:t>in regard to</w:t>
      </w:r>
      <w:proofErr w:type="gramEnd"/>
      <w:r>
        <w:rPr>
          <w:rFonts w:ascii="Calibri" w:hAnsi="Calibri" w:cs="Calibri"/>
          <w:color w:val="242424"/>
          <w:sz w:val="22"/>
          <w:szCs w:val="22"/>
        </w:rPr>
        <w:t xml:space="preserve"> an in-person course.</w:t>
      </w:r>
    </w:p>
    <w:bookmarkEnd w:id="1"/>
    <w:p w14:paraId="010A7570" w14:textId="77777777" w:rsidR="00D041CE" w:rsidRDefault="00CA048B"/>
    <w:sectPr w:rsidR="00D04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23216"/>
    <w:multiLevelType w:val="multilevel"/>
    <w:tmpl w:val="6512D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7C4D6E"/>
    <w:multiLevelType w:val="multilevel"/>
    <w:tmpl w:val="76E81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4662491">
    <w:abstractNumId w:val="0"/>
  </w:num>
  <w:num w:numId="2" w16cid:durableId="72167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525"/>
    <w:rsid w:val="00304A6D"/>
    <w:rsid w:val="00456B5B"/>
    <w:rsid w:val="00731231"/>
    <w:rsid w:val="008450C0"/>
    <w:rsid w:val="009F5525"/>
    <w:rsid w:val="00CA048B"/>
    <w:rsid w:val="00E46BEC"/>
    <w:rsid w:val="00E7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DB75"/>
  <w15:chartTrackingRefBased/>
  <w15:docId w15:val="{72865837-2A9C-48FF-9A5E-3B40557D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F55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46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98715">
      <w:bodyDiv w:val="1"/>
      <w:marLeft w:val="0"/>
      <w:marRight w:val="0"/>
      <w:marTop w:val="0"/>
      <w:marBottom w:val="0"/>
      <w:divBdr>
        <w:top w:val="none" w:sz="0" w:space="0" w:color="auto"/>
        <w:left w:val="none" w:sz="0" w:space="0" w:color="auto"/>
        <w:bottom w:val="none" w:sz="0" w:space="0" w:color="auto"/>
        <w:right w:val="none" w:sz="0" w:space="0" w:color="auto"/>
      </w:divBdr>
    </w:div>
    <w:div w:id="682782757">
      <w:bodyDiv w:val="1"/>
      <w:marLeft w:val="0"/>
      <w:marRight w:val="0"/>
      <w:marTop w:val="0"/>
      <w:marBottom w:val="0"/>
      <w:divBdr>
        <w:top w:val="none" w:sz="0" w:space="0" w:color="auto"/>
        <w:left w:val="none" w:sz="0" w:space="0" w:color="auto"/>
        <w:bottom w:val="none" w:sz="0" w:space="0" w:color="auto"/>
        <w:right w:val="none" w:sz="0" w:space="0" w:color="auto"/>
      </w:divBdr>
    </w:div>
    <w:div w:id="165605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new-general-education-gen-goals-and-elo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ccas.osu.edu/curriculum/syllabus-elements" TargetMode="External"/><Relationship Id="rId5" Type="http://schemas.openxmlformats.org/officeDocument/2006/relationships/styles" Target="styles.xml"/><Relationship Id="rId10" Type="http://schemas.openxmlformats.org/officeDocument/2006/relationships/hyperlink" Target="https://asccas.osu.edu/curriculum/syllabus-elements" TargetMode="External"/><Relationship Id="rId4" Type="http://schemas.openxmlformats.org/officeDocument/2006/relationships/numbering" Target="numbering.xml"/><Relationship Id="rId9" Type="http://schemas.openxmlformats.org/officeDocument/2006/relationships/hyperlink" Target="https://asccas.osu.edu/legacy-general-education-gel-goals-and-el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0ed3d11c-3f65-445f-8684-adbafd8ae98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AA3A4F6CED1448C728A3C83AECB40" ma:contentTypeVersion="15" ma:contentTypeDescription="Create a new document." ma:contentTypeScope="" ma:versionID="d4c6e6891c66244b5a9774c66e1d6c8d">
  <xsd:schema xmlns:xsd="http://www.w3.org/2001/XMLSchema" xmlns:xs="http://www.w3.org/2001/XMLSchema" xmlns:p="http://schemas.microsoft.com/office/2006/metadata/properties" xmlns:ns3="0ed3d11c-3f65-445f-8684-adbafd8ae98b" xmlns:ns4="f26a0806-cee3-4c6d-a4a5-b63f4cd28739" targetNamespace="http://schemas.microsoft.com/office/2006/metadata/properties" ma:root="true" ma:fieldsID="c439a7348d07b43f4098508d8404d5b0" ns3:_="" ns4:_="">
    <xsd:import namespace="0ed3d11c-3f65-445f-8684-adbafd8ae98b"/>
    <xsd:import namespace="f26a0806-cee3-4c6d-a4a5-b63f4cd2873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3d11c-3f65-445f-8684-adbafd8ae9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6a0806-cee3-4c6d-a4a5-b63f4cd2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86FD2F-1C58-4A29-9E4F-8A3A7F25A227}">
  <ds:schemaRefs>
    <ds:schemaRef ds:uri="http://schemas.microsoft.com/sharepoint/v3/contenttype/forms"/>
  </ds:schemaRefs>
</ds:datastoreItem>
</file>

<file path=customXml/itemProps2.xml><?xml version="1.0" encoding="utf-8"?>
<ds:datastoreItem xmlns:ds="http://schemas.openxmlformats.org/officeDocument/2006/customXml" ds:itemID="{449F9BB8-B996-4EA9-9427-106DA338A504}">
  <ds:schemaRefs>
    <ds:schemaRef ds:uri="http://schemas.microsoft.com/office/infopath/2007/PartnerControls"/>
    <ds:schemaRef ds:uri="http://purl.org/dc/dcmitype/"/>
    <ds:schemaRef ds:uri="http://schemas.microsoft.com/office/2006/documentManagement/types"/>
    <ds:schemaRef ds:uri="0ed3d11c-3f65-445f-8684-adbafd8ae98b"/>
    <ds:schemaRef ds:uri="http://schemas.openxmlformats.org/package/2006/metadata/core-properties"/>
    <ds:schemaRef ds:uri="http://schemas.microsoft.com/office/2006/metadata/properties"/>
    <ds:schemaRef ds:uri="http://purl.org/dc/elements/1.1/"/>
    <ds:schemaRef ds:uri="f26a0806-cee3-4c6d-a4a5-b63f4cd28739"/>
    <ds:schemaRef ds:uri="http://www.w3.org/XML/1998/namespace"/>
    <ds:schemaRef ds:uri="http://purl.org/dc/terms/"/>
  </ds:schemaRefs>
</ds:datastoreItem>
</file>

<file path=customXml/itemProps3.xml><?xml version="1.0" encoding="utf-8"?>
<ds:datastoreItem xmlns:ds="http://schemas.openxmlformats.org/officeDocument/2006/customXml" ds:itemID="{CDDBC29D-AF25-4FB8-B171-E0651287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3d11c-3f65-445f-8684-adbafd8ae98b"/>
    <ds:schemaRef ds:uri="f26a0806-cee3-4c6d-a4a5-b63f4cd2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910</Words>
  <Characters>5380</Characters>
  <Application>Microsoft Office Word</Application>
  <DocSecurity>0</DocSecurity>
  <Lines>101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Fletcher, Richard</dc:creator>
  <cp:keywords/>
  <dc:description/>
  <cp:lastModifiedBy>Steele, Rachel</cp:lastModifiedBy>
  <cp:revision>3</cp:revision>
  <dcterms:created xsi:type="dcterms:W3CDTF">2023-05-17T13:58:00Z</dcterms:created>
  <dcterms:modified xsi:type="dcterms:W3CDTF">2023-05-31T20:32:00Z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0x010100273AA3A4F6CED1448C728A3C83AECB40</vt:lpwstr>
  </property>
</Properties>
</file>